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A697">
      <w:pPr>
        <w:spacing w:line="360" w:lineRule="auto"/>
        <w:ind w:left="279" w:leftChars="133" w:firstLine="560" w:firstLineChars="200"/>
        <w:rPr>
          <w:rFonts w:hint="default"/>
          <w:sz w:val="28"/>
          <w:szCs w:val="28"/>
          <w:lang w:val="en-US" w:eastAsia="zh-CN"/>
        </w:rPr>
      </w:pPr>
    </w:p>
    <w:p w14:paraId="0DB8E351">
      <w:pPr>
        <w:spacing w:line="36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陕西省杂交油菜研究中心分析检测设备采购公告</w:t>
      </w:r>
    </w:p>
    <w:p w14:paraId="7E282F7C">
      <w:pPr>
        <w:spacing w:line="360" w:lineRule="auto"/>
        <w:ind w:left="279" w:leftChars="133" w:firstLine="560" w:firstLineChars="200"/>
        <w:rPr>
          <w:rFonts w:hint="default"/>
          <w:sz w:val="28"/>
          <w:szCs w:val="28"/>
          <w:lang w:val="en-US" w:eastAsia="zh-CN"/>
        </w:rPr>
      </w:pPr>
    </w:p>
    <w:p w14:paraId="34C0B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因承担陕西省财政资金项目课题“主要油料作物（油菜、大豆）品种选育”项目，我中心分析检测研究室需采购检测设备一批，欢迎符合资质条件的供应商携带资质报名参加。</w:t>
      </w:r>
    </w:p>
    <w:p w14:paraId="5EA6C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一、项目名称</w:t>
      </w:r>
    </w:p>
    <w:p w14:paraId="133DD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项目名称:分析检测研究室分析检测设备采购</w:t>
      </w:r>
    </w:p>
    <w:p w14:paraId="30885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需求数量:4台</w:t>
      </w:r>
    </w:p>
    <w:p w14:paraId="72019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采购预算:14万元</w:t>
      </w:r>
    </w:p>
    <w:p w14:paraId="5E0BD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报名日期:2026年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default"/>
          <w:sz w:val="21"/>
          <w:szCs w:val="21"/>
          <w:lang w:val="en-US" w:eastAsia="zh-CN"/>
        </w:rPr>
        <w:t>月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default"/>
          <w:sz w:val="21"/>
          <w:szCs w:val="21"/>
          <w:lang w:val="en-US" w:eastAsia="zh-CN"/>
        </w:rPr>
        <w:t>日-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default"/>
          <w:sz w:val="21"/>
          <w:szCs w:val="21"/>
          <w:lang w:val="en-US" w:eastAsia="zh-CN"/>
        </w:rPr>
        <w:t>月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default"/>
          <w:sz w:val="21"/>
          <w:szCs w:val="21"/>
          <w:lang w:val="en-US" w:eastAsia="zh-CN"/>
        </w:rPr>
        <w:t>日</w:t>
      </w:r>
    </w:p>
    <w:p w14:paraId="02235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报名联系地址:陕西省杨凌示范区高干渠路西段6号</w:t>
      </w:r>
    </w:p>
    <w:p w14:paraId="6AB66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开标时间:2026年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default"/>
          <w:sz w:val="21"/>
          <w:szCs w:val="21"/>
          <w:lang w:val="en-US" w:eastAsia="zh-CN"/>
        </w:rPr>
        <w:t>月</w:t>
      </w:r>
      <w:r>
        <w:rPr>
          <w:rFonts w:hint="eastAsia"/>
          <w:sz w:val="21"/>
          <w:szCs w:val="21"/>
          <w:lang w:val="en-US" w:eastAsia="zh-CN"/>
        </w:rPr>
        <w:t>13</w:t>
      </w:r>
      <w:r>
        <w:rPr>
          <w:rFonts w:hint="default"/>
          <w:sz w:val="21"/>
          <w:szCs w:val="21"/>
          <w:lang w:val="en-US" w:eastAsia="zh-CN"/>
        </w:rPr>
        <w:t>日上午1</w:t>
      </w:r>
      <w:r>
        <w:rPr>
          <w:rFonts w:hint="eastAsia"/>
          <w:sz w:val="21"/>
          <w:szCs w:val="21"/>
          <w:lang w:val="en-US" w:eastAsia="zh-CN"/>
        </w:rPr>
        <w:t>0</w:t>
      </w:r>
      <w:r>
        <w:rPr>
          <w:rFonts w:hint="default"/>
          <w:sz w:val="21"/>
          <w:szCs w:val="21"/>
          <w:lang w:val="en-US" w:eastAsia="zh-CN"/>
        </w:rPr>
        <w:t>：00</w:t>
      </w:r>
    </w:p>
    <w:p w14:paraId="0F0CC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开标地点:陕西省杂交油菜研究中心2楼会议室</w:t>
      </w:r>
    </w:p>
    <w:p w14:paraId="5C7A8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报名电话:</w:t>
      </w:r>
      <w:r>
        <w:rPr>
          <w:rFonts w:hint="eastAsia"/>
          <w:sz w:val="21"/>
          <w:szCs w:val="21"/>
          <w:lang w:val="en-US" w:eastAsia="zh-CN"/>
        </w:rPr>
        <w:t>赵</w:t>
      </w:r>
      <w:r>
        <w:rPr>
          <w:rFonts w:hint="default"/>
          <w:sz w:val="21"/>
          <w:szCs w:val="21"/>
          <w:lang w:val="en-US" w:eastAsia="zh-CN"/>
        </w:rPr>
        <w:t>老师</w:t>
      </w:r>
      <w:r>
        <w:rPr>
          <w:rFonts w:hint="eastAsia"/>
          <w:sz w:val="21"/>
          <w:szCs w:val="21"/>
          <w:lang w:val="en-US" w:eastAsia="zh-CN"/>
        </w:rPr>
        <w:t>15809229932    武老师 029-68259018</w:t>
      </w:r>
    </w:p>
    <w:p w14:paraId="6277D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279" w:leftChars="133" w:firstLine="420" w:firstLineChars="200"/>
        <w:rPr>
          <w:rFonts w:hint="default"/>
          <w:sz w:val="21"/>
          <w:szCs w:val="21"/>
          <w:lang w:val="en-US" w:eastAsia="zh-CN"/>
        </w:rPr>
      </w:pPr>
    </w:p>
    <w:p w14:paraId="2216D2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firstLine="630" w:firstLineChars="3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二、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产品参数要求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464"/>
        <w:gridCol w:w="442"/>
        <w:gridCol w:w="7162"/>
      </w:tblGrid>
      <w:tr w14:paraId="4C24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544F67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464" w:type="dxa"/>
            <w:vAlign w:val="center"/>
          </w:tcPr>
          <w:p w14:paraId="0B0031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442" w:type="dxa"/>
            <w:vAlign w:val="center"/>
          </w:tcPr>
          <w:p w14:paraId="3B78BB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7162" w:type="dxa"/>
            <w:vAlign w:val="center"/>
          </w:tcPr>
          <w:p w14:paraId="3C8336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采购参数</w:t>
            </w:r>
          </w:p>
        </w:tc>
      </w:tr>
      <w:tr w14:paraId="083F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51F3EC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脂肪测定仪</w:t>
            </w:r>
          </w:p>
        </w:tc>
        <w:tc>
          <w:tcPr>
            <w:tcW w:w="464" w:type="dxa"/>
            <w:vAlign w:val="center"/>
          </w:tcPr>
          <w:p w14:paraId="60B3AB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2" w:type="dxa"/>
            <w:vAlign w:val="center"/>
          </w:tcPr>
          <w:p w14:paraId="3D2F2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162" w:type="dxa"/>
            <w:vAlign w:val="center"/>
          </w:tcPr>
          <w:p w14:paraId="31A5E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1、适用全部有机溶剂（包括乙醚、石油醚等）。 </w:t>
            </w:r>
          </w:p>
          <w:p w14:paraId="5D013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2、全自动标准索氏萃取，玻璃、四氟全通道量身定制，阻绝一切杂质，准确性高。 </w:t>
            </w:r>
          </w:p>
          <w:p w14:paraId="4ED22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3、开始/暂停一键式操作，实验过程掌控随心。 </w:t>
            </w:r>
          </w:p>
          <w:p w14:paraId="7234E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4、壁挂式大屏控制系统，易操作，好打理。 </w:t>
            </w:r>
          </w:p>
          <w:p w14:paraId="7052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5、竖屏面板，手机风格界面，简约更具人性化。 </w:t>
            </w:r>
          </w:p>
          <w:p w14:paraId="4A44B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6、内置五种萃取方式，随时切换，任意选择。 </w:t>
            </w:r>
          </w:p>
          <w:p w14:paraId="3158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7、预设常用试剂选项，重复实验一键搞定。 </w:t>
            </w:r>
          </w:p>
          <w:p w14:paraId="419E3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8、整体金属加热模块，升温快，效果好，功耗低。 </w:t>
            </w:r>
          </w:p>
          <w:p w14:paraId="07BC8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9、进出水路全方位温度、流量控制，环保更节约。 </w:t>
            </w:r>
          </w:p>
          <w:p w14:paraId="6ACA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10、异常实时监控系统配合乙醚泄露报警，时刻确保实验的顺利进行与人员安全。 </w:t>
            </w:r>
          </w:p>
          <w:p w14:paraId="06083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11、高效的溶剂回收系统，大幅节约实验成本。 </w:t>
            </w:r>
          </w:p>
          <w:p w14:paraId="0FAFA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12、控温范围:室温+5℃～300℃。    </w:t>
            </w:r>
          </w:p>
          <w:p w14:paraId="09577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13、测定范围:0.1～100%。   </w:t>
            </w:r>
          </w:p>
          <w:p w14:paraId="22842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14、控温精度:±1℃。</w:t>
            </w:r>
          </w:p>
          <w:p w14:paraId="2FF6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15、重复性误差:1%。   </w:t>
            </w:r>
          </w:p>
          <w:p w14:paraId="1BB4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16、测定样品重量:0.5g～15g。</w:t>
            </w:r>
          </w:p>
          <w:p w14:paraId="1513A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17、处理能力:6个/批。</w:t>
            </w:r>
          </w:p>
          <w:p w14:paraId="03F40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18、加热杯体积:150mL。</w:t>
            </w:r>
          </w:p>
          <w:p w14:paraId="77784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19、溶剂回收率:≥85%。</w:t>
            </w:r>
          </w:p>
          <w:p w14:paraId="4E88E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20、测定时间:比传统方法缩短20～80%。</w:t>
            </w:r>
          </w:p>
          <w:p w14:paraId="7F3B3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21、电源:220 VAC ±10% 50Hz。</w:t>
            </w:r>
          </w:p>
          <w:p w14:paraId="3865F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22、额定功率:2.6KW。</w:t>
            </w:r>
          </w:p>
          <w:p w14:paraId="7E55D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23、外形尺寸（长×宽×高）:650mm×380mm×720mm。</w:t>
            </w:r>
          </w:p>
          <w:p w14:paraId="22270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24、净重:50Kg。</w:t>
            </w:r>
          </w:p>
          <w:p w14:paraId="75927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配置：</w:t>
            </w:r>
          </w:p>
          <w:p w14:paraId="50535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脂肪测定仪主机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1台，包括：玻璃溶剂杯6个，铝质溶剂杯6个，外置控制器1套，进水管1根，出水管1根，密封垫片12个，滤纸筒6个，滤纸筒挂架6个，电源线1根，保险丝\10A 2个，扎带\4X150 10根。</w:t>
            </w:r>
          </w:p>
          <w:p w14:paraId="2103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冷却水循环器 1台。</w:t>
            </w:r>
          </w:p>
          <w:p w14:paraId="3B16F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产品合格证1份，产品说明书1份，产品装箱清单1份。</w:t>
            </w:r>
          </w:p>
        </w:tc>
      </w:tr>
      <w:tr w14:paraId="3A4D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6EC8AE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纯水氢气发生器</w:t>
            </w:r>
          </w:p>
        </w:tc>
        <w:tc>
          <w:tcPr>
            <w:tcW w:w="464" w:type="dxa"/>
            <w:vAlign w:val="center"/>
          </w:tcPr>
          <w:p w14:paraId="0573A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2" w:type="dxa"/>
            <w:vAlign w:val="center"/>
          </w:tcPr>
          <w:p w14:paraId="266DC5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162" w:type="dxa"/>
            <w:vAlign w:val="center"/>
          </w:tcPr>
          <w:p w14:paraId="21251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1、LCD屏幕，自动跟踪和显示使用流量，监控仪器工作状态。</w:t>
            </w:r>
          </w:p>
          <w:p w14:paraId="3938F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2、净化器采用PC聚酸酯管材耐压、耐冲击、不易破碎，日常维护只需补充蒸馏水，即可连续使用。</w:t>
            </w:r>
          </w:p>
          <w:p w14:paraId="24590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3、设有不反液装置，确保仪器无反液现象。</w:t>
            </w:r>
          </w:p>
          <w:p w14:paraId="013FB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4、无硫密封圈，有效提高气体纯度，保证色谱基线稳定。</w:t>
            </w:r>
          </w:p>
          <w:p w14:paraId="40F8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5、取代高压氢气瓶，使实验室仪器化。</w:t>
            </w:r>
          </w:p>
          <w:p w14:paraId="6B87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6、操作安全 只需启动电源即可产气。</w:t>
            </w:r>
          </w:p>
          <w:p w14:paraId="29ADA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7、自动化程序高，维护简单方便。</w:t>
            </w:r>
          </w:p>
          <w:p w14:paraId="5BCC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8、过压保护，安全可靠，可连续在恶劣环境下工作。</w:t>
            </w:r>
          </w:p>
          <w:p w14:paraId="5A961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9、输出流量：0-300ml/min。</w:t>
            </w:r>
          </w:p>
          <w:p w14:paraId="19B50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10、氢气纯度：优于99.999%。</w:t>
            </w:r>
          </w:p>
          <w:p w14:paraId="3B573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11、输出压力：0-0.4MPa（可根据需要自由调节大小）。</w:t>
            </w:r>
          </w:p>
          <w:p w14:paraId="0CE5E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12、水质：纯净水、蒸馏水、或去离子水。</w:t>
            </w:r>
          </w:p>
          <w:p w14:paraId="20604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13、电源电压：AC220V±10%。</w:t>
            </w:r>
          </w:p>
          <w:p w14:paraId="75741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14、最大功率：150W。</w:t>
            </w:r>
          </w:p>
          <w:p w14:paraId="31034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15、工作环境：0-45℃，相对湿度＜85%。</w:t>
            </w:r>
          </w:p>
          <w:p w14:paraId="27B23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16、外形尺寸/重量：425mm×210mm×365mm /10kg。</w:t>
            </w:r>
          </w:p>
        </w:tc>
      </w:tr>
      <w:tr w14:paraId="2110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4326EC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通风橱</w:t>
            </w:r>
          </w:p>
        </w:tc>
        <w:tc>
          <w:tcPr>
            <w:tcW w:w="464" w:type="dxa"/>
            <w:vAlign w:val="center"/>
          </w:tcPr>
          <w:p w14:paraId="0BF418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42" w:type="dxa"/>
            <w:vAlign w:val="center"/>
          </w:tcPr>
          <w:p w14:paraId="6D57AE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162" w:type="dxa"/>
            <w:vAlign w:val="center"/>
          </w:tcPr>
          <w:p w14:paraId="16713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材质：</w:t>
            </w:r>
          </w:p>
          <w:p w14:paraId="6C5F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1、主体左右旁板、前钢板、背板、顶板、下柜体可采用1.0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1.2mm厚钢板，德国进口2000W全自动数控激光切割机下料，折弯采用全自动数控折弯机一次性一体折弯成型，表面经环氧树脂粉末静电流水线自动化喷涂及高温固化。</w:t>
            </w:r>
          </w:p>
          <w:p w14:paraId="72D4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内衬板、导流板采用5mm厚实芯抗倍特板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具有良好的防腐蚀、化学抗性。导流板固定件使用PP优质材质制作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一体成型。</w:t>
            </w:r>
          </w:p>
          <w:p w14:paraId="423E2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移动视窗玻璃两侧PP夹条包裹，拉手PP一体成型，嵌入5mm钢化玻璃，门开启高度为760mm,自由升降，移门上下滑动装置采用同步带轮结构，无级任意停留，移门导向装置由抗腐蚀的聚氯乙稀材质构成。</w:t>
            </w:r>
          </w:p>
          <w:p w14:paraId="111E6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固定视窗框架为钢板制作环氧树脂喷涂，框内嵌入5mm厚钢化玻璃。</w:t>
            </w:r>
          </w:p>
          <w:p w14:paraId="612F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台面采用（国产）实芯理化板（12.7mm厚）耐酸碱，耐冲击，耐腐蚀，甲醛达到E1级别标准。</w:t>
            </w:r>
          </w:p>
          <w:p w14:paraId="7CD14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连接部分所有的内部连接装置都需隐藏布置和抗腐蚀，没有外露的螺钉，外部连接装置都抗化学腐蚀的不锈钢部件与非金属材料。</w:t>
            </w:r>
          </w:p>
          <w:p w14:paraId="6F858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排气出口采用与顶板一体成型集气罩，出风口直径250mm圆孔，套管连接，减少气体扰流。</w:t>
            </w:r>
          </w:p>
          <w:p w14:paraId="7129F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配件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：</w:t>
            </w:r>
          </w:p>
          <w:p w14:paraId="17CE6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水路配有进口一次性成型PP小杯槽，耐酸碱、耐腐蚀。单口水龙头由黄铜构成并安装在通风柜内台面上。</w:t>
            </w:r>
          </w:p>
          <w:p w14:paraId="3E31F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电路控制面板采用液晶显示屏面板（可设置快慢自由调节，可适应市场上大部分类似产品，支持电动风阀6秒快开）8个按键电源、设置、确定、照明、备用、风机、风阀+\-键。</w:t>
            </w:r>
          </w:p>
          <w:p w14:paraId="4DFAE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照明LED白光灯快速启动类型，安装置通风柜顶部，使用寿命长。</w:t>
            </w:r>
          </w:p>
          <w:p w14:paraId="010A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插座配有四个10A 220V五孔多功能插座。线路使用正泰2.5平方铜芯电线。</w:t>
            </w:r>
          </w:p>
          <w:p w14:paraId="7962A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下柜门铰链采用“DTC品牌”110度直弯铰链，使用寿命高，拆装方便。</w:t>
            </w:r>
          </w:p>
          <w:p w14:paraId="591D7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其它下柜内背板预留检修窗，方便故障检修，左右旁板各预留4个孔方便加装考克等设施。</w:t>
            </w:r>
          </w:p>
        </w:tc>
      </w:tr>
    </w:tbl>
    <w:p w14:paraId="5999AA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firstLine="630" w:firstLineChars="3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56BAD6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三、投标请提供下列文件</w:t>
      </w:r>
    </w:p>
    <w:p w14:paraId="0125E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1.营业执照，法人授权书，法人身份证，被授权人身份证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及中小企业声明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。</w:t>
      </w:r>
    </w:p>
    <w:p w14:paraId="2FE5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.参加政府采购活动前3年内经营活动中没有重大违法记录声明。</w:t>
      </w:r>
    </w:p>
    <w:p w14:paraId="29CB1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.未被列入失信被执行人、重大税收失信主体、政府采购严重违法失信行为记录名单。</w:t>
      </w:r>
    </w:p>
    <w:p w14:paraId="4DC3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.报价单。需写明产品名称、品牌型号、配置、数量、单价、总价、联系方式。</w:t>
      </w:r>
    </w:p>
    <w:p w14:paraId="126E2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.产品来源渠道和相关介绍。包括各种证照、产品详细介绍、宣传彩页、产品说明、技术参数等证明材料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。</w:t>
      </w:r>
    </w:p>
    <w:p w14:paraId="1419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6.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提供具有履行服务合同所必需的产品和专业技术能力的承诺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。</w:t>
      </w:r>
    </w:p>
    <w:p w14:paraId="4FB02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7.成交案例复印件。</w:t>
      </w:r>
    </w:p>
    <w:p w14:paraId="1A60C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8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.安装、培训和售后。提供具体的安装调试、技术培训和售后服务方案。</w:t>
      </w:r>
    </w:p>
    <w:p w14:paraId="05D9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9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.以上文件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加盖公章一正一副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密封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袋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递交将作为最终询价文件进行评审。</w:t>
      </w:r>
      <w:bookmarkStart w:id="0" w:name="_GoBack"/>
      <w:bookmarkEnd w:id="0"/>
    </w:p>
    <w:p w14:paraId="4AB8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四、评标办法</w:t>
      </w:r>
    </w:p>
    <w:p w14:paraId="0B61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采用综合评分法，由评标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小组</w:t>
      </w:r>
      <w:r>
        <w:rPr>
          <w:rFonts w:hint="eastAsia" w:ascii="宋体" w:hAnsi="宋体" w:eastAsia="宋体" w:cs="宋体"/>
          <w:sz w:val="21"/>
          <w:szCs w:val="21"/>
        </w:rPr>
        <w:t>各成员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进行</w:t>
      </w:r>
      <w:r>
        <w:rPr>
          <w:rFonts w:hint="eastAsia" w:ascii="宋体" w:hAnsi="宋体" w:eastAsia="宋体" w:cs="宋体"/>
          <w:sz w:val="21"/>
          <w:szCs w:val="21"/>
        </w:rPr>
        <w:t>资格检查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，对符合要求的投标文件</w:t>
      </w:r>
      <w:r>
        <w:rPr>
          <w:rFonts w:hint="eastAsia" w:ascii="宋体" w:hAnsi="宋体" w:eastAsia="宋体" w:cs="宋体"/>
          <w:sz w:val="21"/>
          <w:szCs w:val="21"/>
        </w:rPr>
        <w:t>进行独立评审。评标过程中，不得去掉报价中的最高报价和最低报价。</w:t>
      </w:r>
    </w:p>
    <w:p w14:paraId="37379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评分标准</w:t>
      </w:r>
    </w:p>
    <w:tbl>
      <w:tblPr>
        <w:tblStyle w:val="7"/>
        <w:tblW w:w="886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17"/>
        <w:gridCol w:w="4562"/>
        <w:gridCol w:w="559"/>
        <w:gridCol w:w="797"/>
        <w:gridCol w:w="889"/>
      </w:tblGrid>
      <w:tr w14:paraId="2E01F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 w14:paraId="52E7FEED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评审因素</w:t>
            </w:r>
          </w:p>
        </w:tc>
        <w:tc>
          <w:tcPr>
            <w:tcW w:w="6807" w:type="dxa"/>
            <w:gridSpan w:val="4"/>
          </w:tcPr>
          <w:p w14:paraId="2D573BEF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评审标准</w:t>
            </w:r>
          </w:p>
        </w:tc>
      </w:tr>
      <w:tr w14:paraId="3BD5E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 w14:paraId="50B2B734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分值构成</w:t>
            </w:r>
          </w:p>
        </w:tc>
        <w:tc>
          <w:tcPr>
            <w:tcW w:w="6807" w:type="dxa"/>
            <w:gridSpan w:val="4"/>
          </w:tcPr>
          <w:p w14:paraId="007BD07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详细评审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70分</w:t>
            </w:r>
          </w:p>
          <w:p w14:paraId="2A3ED22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报价得分30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</w:tr>
      <w:tr w14:paraId="6CF43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CA5AF8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评审因素分类</w:t>
            </w:r>
          </w:p>
        </w:tc>
        <w:tc>
          <w:tcPr>
            <w:tcW w:w="1117" w:type="dxa"/>
            <w:vAlign w:val="center"/>
          </w:tcPr>
          <w:p w14:paraId="537460E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评审项</w:t>
            </w:r>
          </w:p>
        </w:tc>
        <w:tc>
          <w:tcPr>
            <w:tcW w:w="4562" w:type="dxa"/>
          </w:tcPr>
          <w:p w14:paraId="42A1F14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详细描述</w:t>
            </w:r>
          </w:p>
        </w:tc>
        <w:tc>
          <w:tcPr>
            <w:tcW w:w="559" w:type="dxa"/>
          </w:tcPr>
          <w:p w14:paraId="3E1C5F8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797" w:type="dxa"/>
          </w:tcPr>
          <w:p w14:paraId="14554FA2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客观/主观</w:t>
            </w:r>
          </w:p>
        </w:tc>
        <w:tc>
          <w:tcPr>
            <w:tcW w:w="889" w:type="dxa"/>
          </w:tcPr>
          <w:p w14:paraId="6FEA513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关联格式</w:t>
            </w:r>
          </w:p>
        </w:tc>
      </w:tr>
      <w:tr w14:paraId="5FCBD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vAlign w:val="center"/>
          </w:tcPr>
          <w:p w14:paraId="6843CBCD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详细评审</w:t>
            </w:r>
          </w:p>
        </w:tc>
        <w:tc>
          <w:tcPr>
            <w:tcW w:w="1117" w:type="dxa"/>
            <w:vAlign w:val="center"/>
          </w:tcPr>
          <w:p w14:paraId="68B9F797">
            <w:pPr>
              <w:keepNext w:val="0"/>
              <w:keepLines w:val="0"/>
              <w:pageBreakBefore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技术指标及方案评审</w:t>
            </w:r>
          </w:p>
          <w:p w14:paraId="3185440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2" w:type="dxa"/>
          </w:tcPr>
          <w:p w14:paraId="6E0909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1.技术分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716A50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脂肪测定仪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产品配置齐全，数量准确、技术参数和性能清楚、明确，规格、功能一致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满分为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shd w:val="clear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eastAsia="zh-CN"/>
              </w:rPr>
              <w:t>不满足招标文件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val="en-US" w:eastAsia="zh-CN"/>
              </w:rPr>
              <w:t>1项减1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eastAsia="zh-CN"/>
              </w:rPr>
              <w:t>分。</w:t>
            </w:r>
          </w:p>
          <w:p w14:paraId="1965FA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纯水氢气发生器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产品配置齐全，数量准确、技术参数和性能清楚、明确，规格、功能一致，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满分为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shd w:val="clear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eastAsia="zh-CN"/>
              </w:rPr>
              <w:t>不满足招标文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1项减1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分。</w:t>
            </w:r>
          </w:p>
          <w:p w14:paraId="3EBB3E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通风橱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产品配置齐全，数量准确、技术参数和性能清楚、明确，规格、功能一致，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满分为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shd w:val="clear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eastAsia="zh-CN"/>
              </w:rPr>
              <w:t>不满足招标文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其中1项减1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412B1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产品安装、检测、调试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等保障项目顺利进行的相关措施，方案内容完整科学，符合项目实际及需求得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分；方案内容较完整，基本符合项目实际需求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方案内容空洞、无针对性，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未提供不得分。</w:t>
            </w:r>
          </w:p>
        </w:tc>
        <w:tc>
          <w:tcPr>
            <w:tcW w:w="559" w:type="dxa"/>
          </w:tcPr>
          <w:p w14:paraId="18000294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797" w:type="dxa"/>
          </w:tcPr>
          <w:p w14:paraId="55845D1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主观</w:t>
            </w:r>
          </w:p>
        </w:tc>
        <w:tc>
          <w:tcPr>
            <w:tcW w:w="889" w:type="dxa"/>
          </w:tcPr>
          <w:p w14:paraId="1C6BE4F5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产品技术</w:t>
            </w:r>
          </w:p>
          <w:p w14:paraId="7B814CF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参数表</w:t>
            </w:r>
          </w:p>
        </w:tc>
      </w:tr>
      <w:tr w14:paraId="26B06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vAlign w:val="center"/>
          </w:tcPr>
          <w:p w14:paraId="5FFE4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001A2270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供货培训方案</w:t>
            </w:r>
          </w:p>
          <w:p w14:paraId="47C49A4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62" w:type="dxa"/>
          </w:tcPr>
          <w:p w14:paraId="0ACB54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依据供货方案的详实性、可行性、交货时长、质量和技术保障等，并具有培训计划方案、实施内容、培训人员的投入和保障等，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GB"/>
              </w:rPr>
              <w:t>培训方案全面完善、切实可行、有针对性，完全满足项目采购要求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GB"/>
              </w:rPr>
              <w:t>分；内容较为全面完善、较为切实可行，较有针对性，基本满足项目采购要求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GB"/>
              </w:rPr>
              <w:t>分；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方案内容空洞、无针对性，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未提供不得分。</w:t>
            </w:r>
          </w:p>
        </w:tc>
        <w:tc>
          <w:tcPr>
            <w:tcW w:w="559" w:type="dxa"/>
          </w:tcPr>
          <w:p w14:paraId="3BDDF3C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97" w:type="dxa"/>
          </w:tcPr>
          <w:p w14:paraId="0DA54E1A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主观</w:t>
            </w:r>
          </w:p>
        </w:tc>
        <w:tc>
          <w:tcPr>
            <w:tcW w:w="889" w:type="dxa"/>
          </w:tcPr>
          <w:p w14:paraId="41002B5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服务方案</w:t>
            </w:r>
          </w:p>
        </w:tc>
      </w:tr>
      <w:tr w14:paraId="2363D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vAlign w:val="center"/>
          </w:tcPr>
          <w:p w14:paraId="20BD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3727E62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</w:t>
            </w:r>
          </w:p>
        </w:tc>
        <w:tc>
          <w:tcPr>
            <w:tcW w:w="4562" w:type="dxa"/>
          </w:tcPr>
          <w:p w14:paraId="51FAD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据供应商售后服务机构及技术支持情况（提供有效的办公场所证明和人员材料）；对备品配件、设备发生故障后的补救措施，维修服务响应时限等售后服务情况，售后服务内容完整、可行，符合项目实际及需求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分；内容一般，基本符合项目实际及需求得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分；内容空洞、无意义、无操作性或未提供不得分；</w:t>
            </w:r>
          </w:p>
        </w:tc>
        <w:tc>
          <w:tcPr>
            <w:tcW w:w="559" w:type="dxa"/>
          </w:tcPr>
          <w:p w14:paraId="424E6F2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7" w:type="dxa"/>
          </w:tcPr>
          <w:p w14:paraId="70F1050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主观</w:t>
            </w:r>
          </w:p>
        </w:tc>
        <w:tc>
          <w:tcPr>
            <w:tcW w:w="889" w:type="dxa"/>
          </w:tcPr>
          <w:p w14:paraId="0C3409F7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服务方案</w:t>
            </w:r>
          </w:p>
        </w:tc>
      </w:tr>
      <w:tr w14:paraId="6B036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vAlign w:val="center"/>
          </w:tcPr>
          <w:p w14:paraId="09D4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5FE4740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  <w:t>业绩</w:t>
            </w:r>
          </w:p>
          <w:p w14:paraId="6859C154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4562" w:type="dxa"/>
            <w:vAlign w:val="center"/>
          </w:tcPr>
          <w:p w14:paraId="64964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依据投标人从2022年3月至今（以合同签订时间为准）的类似供货项目业绩,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  <w:t>每提供一个得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  <w:t>分，不提供，不得分。</w:t>
            </w:r>
          </w:p>
          <w:p w14:paraId="67F05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注：以加盖公章的合同或中标通知书复印件为准。</w:t>
            </w:r>
          </w:p>
        </w:tc>
        <w:tc>
          <w:tcPr>
            <w:tcW w:w="559" w:type="dxa"/>
          </w:tcPr>
          <w:p w14:paraId="1F764A97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7" w:type="dxa"/>
          </w:tcPr>
          <w:p w14:paraId="47E32EDF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客观</w:t>
            </w:r>
          </w:p>
        </w:tc>
        <w:tc>
          <w:tcPr>
            <w:tcW w:w="889" w:type="dxa"/>
          </w:tcPr>
          <w:p w14:paraId="0A33A6E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服务方案</w:t>
            </w:r>
          </w:p>
        </w:tc>
      </w:tr>
      <w:tr w14:paraId="4289C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45" w:type="dxa"/>
            <w:vMerge w:val="continue"/>
            <w:vAlign w:val="center"/>
          </w:tcPr>
          <w:p w14:paraId="38CBE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0BCA3CD5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  <w:t>质保期</w:t>
            </w:r>
          </w:p>
        </w:tc>
        <w:tc>
          <w:tcPr>
            <w:tcW w:w="4562" w:type="dxa"/>
          </w:tcPr>
          <w:p w14:paraId="7E223140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在满足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要求质保期的基础上，投标人可根据自身情况延长质保年限，评标委员会根据各投标人响应的质保年限进行综合评定，以质保年限最长者为基准，计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分，其他投标人的质保年限分统一按照下列公式计算：质保期／基准)×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=响应得分。仅满足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要求的质保期不计分。</w:t>
            </w:r>
          </w:p>
        </w:tc>
        <w:tc>
          <w:tcPr>
            <w:tcW w:w="559" w:type="dxa"/>
          </w:tcPr>
          <w:p w14:paraId="75170BD0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7" w:type="dxa"/>
          </w:tcPr>
          <w:p w14:paraId="06B12DB5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客观</w:t>
            </w:r>
          </w:p>
        </w:tc>
        <w:tc>
          <w:tcPr>
            <w:tcW w:w="889" w:type="dxa"/>
          </w:tcPr>
          <w:p w14:paraId="4BDEEC8E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商务应答表</w:t>
            </w:r>
          </w:p>
        </w:tc>
      </w:tr>
      <w:tr w14:paraId="292B2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837A0C7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价格分</w:t>
            </w:r>
          </w:p>
        </w:tc>
        <w:tc>
          <w:tcPr>
            <w:tcW w:w="1117" w:type="dxa"/>
            <w:vAlign w:val="center"/>
          </w:tcPr>
          <w:p w14:paraId="760674D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价格分</w:t>
            </w:r>
          </w:p>
        </w:tc>
        <w:tc>
          <w:tcPr>
            <w:tcW w:w="4562" w:type="dxa"/>
          </w:tcPr>
          <w:p w14:paraId="6B12DD45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满足竞争性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文件要求且最后报价最低的供应商的价格为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基准价，其价格分为满分。其他供应商的价格分统一按照下列公式计算：</w:t>
            </w:r>
          </w:p>
          <w:p w14:paraId="021965D2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报价得分=（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基准价/最终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报价）×价格权值×100%。</w:t>
            </w:r>
          </w:p>
          <w:p w14:paraId="71424157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备注：计算分数时四舍五入取小数点后两位。</w:t>
            </w:r>
          </w:p>
        </w:tc>
        <w:tc>
          <w:tcPr>
            <w:tcW w:w="559" w:type="dxa"/>
          </w:tcPr>
          <w:p w14:paraId="2353DC8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797" w:type="dxa"/>
          </w:tcPr>
          <w:p w14:paraId="60FEB3A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客观</w:t>
            </w:r>
          </w:p>
        </w:tc>
        <w:tc>
          <w:tcPr>
            <w:tcW w:w="889" w:type="dxa"/>
          </w:tcPr>
          <w:p w14:paraId="7F43D11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报价表</w:t>
            </w:r>
          </w:p>
          <w:p w14:paraId="5090DC91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清单</w:t>
            </w:r>
          </w:p>
        </w:tc>
      </w:tr>
    </w:tbl>
    <w:p w14:paraId="53A80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6BFD"/>
    <w:rsid w:val="0224187C"/>
    <w:rsid w:val="07B65AF8"/>
    <w:rsid w:val="09CC6999"/>
    <w:rsid w:val="0CB609A0"/>
    <w:rsid w:val="14E43B67"/>
    <w:rsid w:val="18EC43AF"/>
    <w:rsid w:val="1BE52F45"/>
    <w:rsid w:val="1CB64F4D"/>
    <w:rsid w:val="1DB25353"/>
    <w:rsid w:val="24D70AA7"/>
    <w:rsid w:val="263E08AF"/>
    <w:rsid w:val="2AE40508"/>
    <w:rsid w:val="2C595171"/>
    <w:rsid w:val="2DC43E7F"/>
    <w:rsid w:val="2FA572A9"/>
    <w:rsid w:val="2FE076FA"/>
    <w:rsid w:val="3795413E"/>
    <w:rsid w:val="38114EC4"/>
    <w:rsid w:val="399D03D2"/>
    <w:rsid w:val="39C64178"/>
    <w:rsid w:val="42636A40"/>
    <w:rsid w:val="45377076"/>
    <w:rsid w:val="463C16EC"/>
    <w:rsid w:val="46426A61"/>
    <w:rsid w:val="464D7595"/>
    <w:rsid w:val="57415259"/>
    <w:rsid w:val="57F945E8"/>
    <w:rsid w:val="5A914457"/>
    <w:rsid w:val="64964E36"/>
    <w:rsid w:val="66707909"/>
    <w:rsid w:val="68334803"/>
    <w:rsid w:val="6C5B1EDC"/>
    <w:rsid w:val="6FCB2FDC"/>
    <w:rsid w:val="706B30BA"/>
    <w:rsid w:val="730A3CE8"/>
    <w:rsid w:val="7443040B"/>
    <w:rsid w:val="7B4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4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unhideWhenUsed/>
    <w:qFormat/>
    <w:uiPriority w:val="0"/>
    <w:rPr>
      <w:sz w:val="21"/>
      <w:szCs w:val="21"/>
    </w:rPr>
  </w:style>
  <w:style w:type="character" w:customStyle="1" w:styleId="1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4">
    <w:name w:val="Normal Indent1"/>
    <w:basedOn w:val="1"/>
    <w:qFormat/>
    <w:uiPriority w:val="0"/>
    <w:pPr>
      <w:widowControl w:val="0"/>
      <w:kinsoku/>
      <w:autoSpaceDE/>
      <w:autoSpaceDN/>
      <w:adjustRightInd/>
      <w:snapToGrid/>
      <w:spacing w:line="660" w:lineRule="exact"/>
      <w:ind w:firstLine="720" w:firstLineChars="200"/>
      <w:jc w:val="both"/>
      <w:textAlignment w:val="auto"/>
    </w:pPr>
    <w:rPr>
      <w:rFonts w:ascii="Times New Roman" w:hAnsi="Times New Roman" w:eastAsia="楷体_GB2312" w:cs="Times New Roman"/>
      <w:snapToGrid/>
      <w:color w:val="auto"/>
      <w:kern w:val="2"/>
      <w:sz w:val="36"/>
      <w:szCs w:val="24"/>
      <w:lang w:eastAsia="zh-CN"/>
    </w:rPr>
  </w:style>
  <w:style w:type="paragraph" w:customStyle="1" w:styleId="15">
    <w:name w:val=" Char"/>
    <w:basedOn w:val="1"/>
    <w:qFormat/>
    <w:uiPriority w:val="0"/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2276</Words>
  <Characters>2530</Characters>
  <Lines>0</Lines>
  <Paragraphs>0</Paragraphs>
  <TotalTime>34</TotalTime>
  <ScaleCrop>false</ScaleCrop>
  <LinksUpToDate>false</LinksUpToDate>
  <CharactersWithSpaces>2565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2026-01-19T09:39:00Z</dcterms:created>
  <dc:creator>scuzx</dc:creator>
  <cp:lastModifiedBy>.小河</cp:lastModifiedBy>
  <dcterms:modified xsi:type="dcterms:W3CDTF">2026-03-05T08:47:34Z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eyJoZGlkIjoiZGM0Yzk5YmIzZGMxMTg4OTVkNmE1MWEzNTUxNzdmZmMiLCJ1c2VySWQiOiIzMjY1Mjc3OTUifQ==</vt:lpwstr>
  </property>
  <property fmtid="{D5CDD505-2E9C-101B-9397-08002B2CF9AE}" pid="4" name="ICV">
    <vt:lpwstr>DA443A7855DF4DC08FA11999AEA43AB5_13</vt:lpwstr>
  </property>
</Properties>
</file>